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9E" w:rsidRPr="00C7309E" w:rsidRDefault="00C7309E" w:rsidP="00C7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</w:t>
      </w:r>
    </w:p>
    <w:p w:rsidR="00C7309E" w:rsidRPr="00C7309E" w:rsidRDefault="00C7309E" w:rsidP="00C73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«НИЖНЕИЛЬДКАНСКОЕ</w:t>
      </w:r>
    </w:p>
    <w:p w:rsidR="00C7309E" w:rsidRPr="00C7309E" w:rsidRDefault="00C7309E" w:rsidP="00C73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309E" w:rsidRPr="00C7309E" w:rsidRDefault="00FA1166" w:rsidP="00C730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</w:t>
      </w:r>
    </w:p>
    <w:p w:rsidR="00C7309E" w:rsidRPr="00C7309E" w:rsidRDefault="00C7309E" w:rsidP="00C7309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A116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июля 2024 года                                                                             № </w:t>
      </w:r>
      <w:r w:rsidR="00FA1166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bookmarkStart w:id="0" w:name="_GoBack"/>
      <w:bookmarkEnd w:id="0"/>
    </w:p>
    <w:p w:rsidR="00C7309E" w:rsidRPr="00C7309E" w:rsidRDefault="00C7309E" w:rsidP="00C7309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ижний</w:t>
      </w:r>
      <w:proofErr w:type="spellEnd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</w:t>
      </w:r>
      <w:proofErr w:type="spellEnd"/>
    </w:p>
    <w:p w:rsidR="00C7309E" w:rsidRPr="00C7309E" w:rsidRDefault="00C7309E" w:rsidP="00C7309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сельского поселения «Нижнеильдиканское»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02.12.2011 года № 216 </w:t>
      </w: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пенсионном обеспечении за выслугу лет муниципальных служащих сельского поселения «Нижнеильдиканское»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(в редакции решений от 08.11.2012 № 51, </w:t>
      </w: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16.11.2015 № 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C73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23.03.2017 № 99)</w:t>
      </w:r>
    </w:p>
    <w:p w:rsidR="00C7309E" w:rsidRPr="00C7309E" w:rsidRDefault="00C7309E" w:rsidP="00C7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09E" w:rsidRPr="00C7309E" w:rsidRDefault="00C7309E" w:rsidP="00C7309E">
      <w:pPr>
        <w:widowControl w:val="0"/>
        <w:spacing w:after="0" w:line="306" w:lineRule="exact"/>
        <w:ind w:firstLine="8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целях приведения в соответствие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законодательством, на основании закона Забайкальского края № 145-ЗЗК от 27.02.2009 «О пенсионном обеспечении за выслугу лет государственных гражданских служащих Забайкальского края», Постановления Правительства  Забайкал</w:t>
      </w:r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ьского края № 252 от 20.06.2017 «Об утверждении Порядка  пенсионного обеспечения государственных гражданских служащих Забайкальского края», рассмотрев Протест </w:t>
      </w:r>
      <w:proofErr w:type="spellStart"/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>Балейского</w:t>
      </w:r>
      <w:proofErr w:type="spellEnd"/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межрайонного прокурора на  решение Совета сельского поселения «Нижнеильдиканское»</w:t>
      </w:r>
      <w:r w:rsidR="00EC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749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474920" w:rsidRPr="00EC0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02.12.2011 года № 216 </w:t>
      </w:r>
      <w:r w:rsidR="00474920"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пенсионном</w:t>
      </w:r>
      <w:proofErr w:type="gramEnd"/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</w:t>
      </w:r>
      <w:proofErr w:type="gramEnd"/>
      <w:r w:rsidR="00474920"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выслугу лет муниципальных служащих сельского поселения «Нижнеильдиканское</w:t>
      </w:r>
      <w:r w:rsid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EC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C7309E">
        <w:rPr>
          <w:rFonts w:ascii="Times New Roman" w:eastAsia="Calibri" w:hAnsi="Times New Roman" w:cs="Times New Roman"/>
          <w:sz w:val="28"/>
          <w:szCs w:val="28"/>
        </w:rPr>
        <w:t>руководствуясь Уставом сельского поселения «Нижнеильдиканское», Совет сельского поселения «Нижнеильдиканское»</w:t>
      </w:r>
    </w:p>
    <w:p w:rsidR="00C7309E" w:rsidRPr="00C7309E" w:rsidRDefault="00C7309E" w:rsidP="00C7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9E" w:rsidRPr="00C7309E" w:rsidRDefault="00C7309E" w:rsidP="00C7309E">
      <w:pPr>
        <w:spacing w:after="18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D6115" w:rsidRPr="00EC0B08" w:rsidRDefault="00EC0B08" w:rsidP="00EC0B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Pr="00EC0B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пенсионном обеспечении за выслугу лет муниципальных служащих сельского поселения «Нижнеильдиканское»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Совета сельского поселения «Нижнеильдиканское» от 02.12.2011 года № 216 </w:t>
      </w:r>
      <w:r w:rsidRPr="00C73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0B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пенсионном обеспечении за выслугу лет муниципальных служащих сельского поселения «Нижнеильдиканское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(дале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Положение)</w:t>
      </w:r>
      <w:r w:rsidRPr="00EC0B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 и дополнения:</w:t>
      </w:r>
    </w:p>
    <w:p w:rsidR="00EC0B08" w:rsidRPr="00EC0B08" w:rsidRDefault="00EC0B08" w:rsidP="00EC0B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Абзац первый статьи 5 Положения  изложить в следующей редакции:</w:t>
      </w:r>
    </w:p>
    <w:p w:rsidR="00EC0B08" w:rsidRDefault="00EC0B08" w:rsidP="00EC0B08">
      <w:pPr>
        <w:pStyle w:val="a3"/>
        <w:ind w:left="0" w:hanging="10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proofErr w:type="gramStart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«Размер пенсии за выслугу лет исчисляется исходя из среднемесячного денежного содержания за последние полные 12 месяцев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муниципальной </w:t>
      </w:r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службы, предшествующих, по выбору лица, обратившегося за установлением пенсии за выслугу лет, дню ее прекращения либо дню достижения возраста, </w:t>
      </w:r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дающего право на страховую пенсию по старости в соответствии с </w:t>
      </w:r>
      <w:hyperlink r:id="rId6" w:anchor="7DI0K7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 статьи 8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8QS0MA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статьями 30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- </w:t>
      </w:r>
      <w:hyperlink r:id="rId8" w:anchor="8QQ0M6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33 Федерального закона "О страховых пенсиях"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(дававшего</w:t>
      </w:r>
      <w:proofErr w:type="gramEnd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трудовую пенсию по старости в соответствии с </w:t>
      </w:r>
      <w:hyperlink r:id="rId9" w:anchor="64U0IK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законом от 17 декабря 2001 года N 173-ФЗ "О трудовых пенсиях в Российской Федерации"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), включая начисление надбавок за работу в местностях с особыми климатическими условиями, с учетом стажа государственной службы,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</w:t>
      </w:r>
      <w:proofErr w:type="gramEnd"/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 </w:t>
      </w:r>
      <w:hyperlink r:id="rId10" w:anchor="7D20K3" w:history="1">
        <w:r w:rsidRPr="00EC0B08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Федеральным законом "О страховых пенсиях"</w:t>
        </w:r>
      </w:hyperlink>
      <w:r w:rsidRPr="00EC0B08">
        <w:rPr>
          <w:rFonts w:ascii="Times New Roman" w:hAnsi="Times New Roman" w:cs="Times New Roman"/>
          <w:sz w:val="28"/>
          <w:szCs w:val="28"/>
          <w:shd w:val="clear" w:color="auto" w:fill="FFFFFF"/>
        </w:rPr>
        <w:t> на момент вынесения решения о назначении пенсии за выслугу лет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EC0B08" w:rsidRPr="00E7123D" w:rsidRDefault="00E7123D" w:rsidP="00E712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дополнить частью 9 следующего содержания:</w:t>
      </w:r>
    </w:p>
    <w:p w:rsidR="00E7123D" w:rsidRDefault="00E7123D" w:rsidP="00E7123D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E712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 Правила обращения за назначением пенсии за выслугу лет</w:t>
      </w:r>
    </w:p>
    <w:p w:rsidR="00E7123D" w:rsidRPr="002E12B5" w:rsidRDefault="00E7123D" w:rsidP="00E71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2B5">
        <w:rPr>
          <w:rFonts w:ascii="Arial" w:hAnsi="Arial" w:cs="Arial"/>
          <w:shd w:val="clear" w:color="auto" w:fill="FFFFFF"/>
        </w:rPr>
        <w:t xml:space="preserve">         </w:t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обращения за назначением пенсии за выслугу лет, порядок рассмотрения заявления о ее назначении, правила определения размера и выплаты пенсии за выслугу лет, приостановления и возобновления ее выплаты, а также ее перерасчета устанавливаются в порядке, определяемом Правительством Забайкальского края.</w:t>
      </w:r>
    </w:p>
    <w:p w:rsidR="00E7123D" w:rsidRPr="002E12B5" w:rsidRDefault="00E7123D" w:rsidP="00E7123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1.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уволенный с государственной гражданской службы (далее - заявитель), лично либо по почте вправе обратиться в уполномоченный орган с заявлением о назначении пенсии за выслугу лет по форме согласно приложению N 1 к настоящему Порядку в любое время после возникновения права на ее установление без ограничения каким-либо сроком. Вместе с заявлением представляются следующие документы: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удостоверяющий личность заявителя;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справка о размере среднемесячного денежного содержания лица, замещавшего должность государственной гражданской службы Забайкальского края, для установления пенсии за выслугу лет по форме согласно приложению N 2 к настоящему Порядку;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трудовой деятельности, оформленные в установленном законодательством порядке, и (или) копию трудовой книжки;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копия военного билета (в случае, если заявитель находился на военной </w:t>
      </w:r>
      <w:r w:rsidRPr="00ED7C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службе);</w:t>
      </w:r>
      <w:r w:rsidRPr="00ED7CD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из Фонда пенсионного и социального страхования Российской Федерации о размере страховой пенсии по старости (инвалидности), фиксированной выплаты к страховой пенсии и повышений фиксированной выплаты к страховой пенсии;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Pr="00ED7C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документ, содержащий сведения о номере страхового свидетельства государственного пенсионного страхования заявителя.</w:t>
      </w:r>
    </w:p>
    <w:p w:rsidR="00E7123D" w:rsidRDefault="00E7123D" w:rsidP="00E7123D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могут быть направлены в уполномоченный орган по почте. В этом случае направляются копии документов, верность которых засвидетельствована в установленном законом порядке, подлинники документов не направляются.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3.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1 рабочего дня с даты поступления документов по почте регистрирует их в журнале входящей корреспонденции и в течение 5 рабочих дней с даты регистрации направляет заявителю извещение о дате регистрации.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к заявлению не приложены или приложены не все документы, предусмотренные пунктом 4 настоящего Порядка, обязанность по предоставлению которых возложена на заявителя, уполномоченный</w:t>
      </w:r>
      <w:proofErr w:type="gramEnd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течение 5 рабочих дней </w:t>
      </w:r>
      <w:proofErr w:type="gramStart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возвращает заявителю поступившие по почте заявление и приложенные к нему документы с указанием причины возврата почтовым отправлением с уведомлением о вручении.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5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и документы могут быть представлены в уполномоченный орган в форме электронного документа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"Интернет":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 или через представителя заявителя при посещении уполномоченного органа;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Федеральной информационной системы "Единый портал государственных и муниципальных услуг (функций)";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иным способом, позволяющим передать в электронном виде заявления и иные документы</w:t>
      </w:r>
      <w:proofErr w:type="gramStart"/>
      <w:r w:rsidRPr="0059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7123D" w:rsidRPr="002E12B5" w:rsidRDefault="00E7123D" w:rsidP="00E712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 1 статьи 10 Положения изложить в следующей редакции:</w:t>
      </w:r>
    </w:p>
    <w:p w:rsidR="002E12B5" w:rsidRPr="00E7123D" w:rsidRDefault="002E12B5" w:rsidP="002E12B5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«1.</w:t>
      </w:r>
      <w:r w:rsidRPr="002E12B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Выплата пенсии за выслугу лет приостанавливается гражданам в период их работы в органах государственной власти, иных государственных органах и органах местного самоуправления, а также в государственных учреждениях Забайкальского края и муниципальных учреждениях с 1-го числа месяца, следующего за месяцем назначения на данные должности</w:t>
      </w:r>
      <w:proofErr w:type="gramStart"/>
      <w:r w:rsidRPr="002E12B5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proofErr w:type="gramEnd"/>
    </w:p>
    <w:p w:rsidR="002E12B5" w:rsidRPr="002E12B5" w:rsidRDefault="002E12B5" w:rsidP="002E12B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обнародования.</w:t>
      </w:r>
    </w:p>
    <w:p w:rsidR="002E12B5" w:rsidRPr="002E12B5" w:rsidRDefault="002E12B5" w:rsidP="002E1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</w:t>
      </w: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обнародовать в установленном  Уставом порядке.</w:t>
      </w: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2B5" w:rsidRPr="002E12B5" w:rsidRDefault="002E12B5" w:rsidP="002E1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2E12B5" w:rsidRPr="002E12B5" w:rsidRDefault="002E12B5" w:rsidP="002E12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«Нижнеильдиканское»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О.А.Матафонов</w:t>
      </w:r>
    </w:p>
    <w:p w:rsidR="00E7123D" w:rsidRPr="00E7123D" w:rsidRDefault="00E7123D" w:rsidP="00E7123D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7123D" w:rsidRPr="00E7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99B"/>
    <w:multiLevelType w:val="hybridMultilevel"/>
    <w:tmpl w:val="BE36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12CA6"/>
    <w:multiLevelType w:val="hybridMultilevel"/>
    <w:tmpl w:val="11346920"/>
    <w:lvl w:ilvl="0" w:tplc="EE00F87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4187C"/>
    <w:multiLevelType w:val="hybridMultilevel"/>
    <w:tmpl w:val="E584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67"/>
    <w:rsid w:val="002E12B5"/>
    <w:rsid w:val="00474920"/>
    <w:rsid w:val="00C16D67"/>
    <w:rsid w:val="00C7309E"/>
    <w:rsid w:val="00E7123D"/>
    <w:rsid w:val="00EC0B08"/>
    <w:rsid w:val="00ED6115"/>
    <w:rsid w:val="00FA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0B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C0B0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674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990674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9906742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99067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6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2024-07-26T01:36:00Z</cp:lastPrinted>
  <dcterms:created xsi:type="dcterms:W3CDTF">2024-07-26T00:29:00Z</dcterms:created>
  <dcterms:modified xsi:type="dcterms:W3CDTF">2024-07-31T04:57:00Z</dcterms:modified>
</cp:coreProperties>
</file>